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B50" w:rsidRPr="00B611CC" w:rsidRDefault="00733B50" w:rsidP="005163A9">
      <w:pPr>
        <w:jc w:val="center"/>
        <w:rPr>
          <w:sz w:val="32"/>
          <w:szCs w:val="32"/>
        </w:rPr>
      </w:pPr>
      <w:r w:rsidRPr="00733B50">
        <w:rPr>
          <w:sz w:val="32"/>
          <w:szCs w:val="32"/>
        </w:rPr>
        <w:t xml:space="preserve">Policy and Procedures for Research Involving Human Blood, </w:t>
      </w:r>
      <w:r w:rsidR="006A4594">
        <w:rPr>
          <w:sz w:val="32"/>
          <w:szCs w:val="32"/>
        </w:rPr>
        <w:t>Fresh Human</w:t>
      </w:r>
      <w:r w:rsidR="00503433">
        <w:rPr>
          <w:sz w:val="32"/>
          <w:szCs w:val="32"/>
        </w:rPr>
        <w:t xml:space="preserve"> </w:t>
      </w:r>
      <w:r w:rsidRPr="00733B50">
        <w:rPr>
          <w:sz w:val="32"/>
          <w:szCs w:val="32"/>
        </w:rPr>
        <w:t xml:space="preserve">Tissue, </w:t>
      </w:r>
      <w:r w:rsidR="006A4594">
        <w:rPr>
          <w:sz w:val="32"/>
          <w:szCs w:val="32"/>
        </w:rPr>
        <w:t xml:space="preserve">or </w:t>
      </w:r>
      <w:r w:rsidRPr="00733B50">
        <w:rPr>
          <w:sz w:val="32"/>
          <w:szCs w:val="32"/>
        </w:rPr>
        <w:t>Body Fluid</w:t>
      </w:r>
      <w:r w:rsidR="006A4594">
        <w:rPr>
          <w:sz w:val="32"/>
          <w:szCs w:val="32"/>
        </w:rPr>
        <w:t>s</w:t>
      </w:r>
    </w:p>
    <w:p w:rsidR="007D3E51" w:rsidRDefault="007D3E51"/>
    <w:p w:rsidR="00733B50" w:rsidRPr="00503433" w:rsidRDefault="008210F3" w:rsidP="00847B38">
      <w:pPr>
        <w:rPr>
          <w:color w:val="993300"/>
          <w:sz w:val="32"/>
          <w:szCs w:val="32"/>
        </w:rPr>
      </w:pPr>
      <w:r>
        <w:rPr>
          <w:color w:val="993300"/>
          <w:sz w:val="32"/>
          <w:szCs w:val="32"/>
        </w:rPr>
        <w:t xml:space="preserve">I. </w:t>
      </w:r>
      <w:r w:rsidR="00733B50" w:rsidRPr="00503433">
        <w:rPr>
          <w:color w:val="993300"/>
          <w:sz w:val="32"/>
          <w:szCs w:val="32"/>
        </w:rPr>
        <w:t xml:space="preserve">Policy </w:t>
      </w:r>
    </w:p>
    <w:p w:rsidR="00733B50" w:rsidRDefault="00733B50" w:rsidP="00733B50">
      <w:pPr>
        <w:ind w:left="360"/>
      </w:pPr>
    </w:p>
    <w:p w:rsidR="00BE01ED" w:rsidRDefault="006A4594" w:rsidP="005163A9">
      <w:pPr>
        <w:spacing w:after="120"/>
      </w:pPr>
      <w:r>
        <w:t xml:space="preserve">All human blood, fresh tissue, or </w:t>
      </w:r>
      <w:r w:rsidRPr="00B611CC">
        <w:t>body fluids</w:t>
      </w:r>
      <w:r>
        <w:t xml:space="preserve"> must be regarded as possibly infected with blood borne pathogens such as Human Immunodeficiency Virus (HIV) or Hepatitis B Virus (HBV).  Therefore, t</w:t>
      </w:r>
      <w:r w:rsidR="00BE01ED" w:rsidRPr="00492BA0">
        <w:t xml:space="preserve">he Upstate IBC will review research protocols which involve the use of </w:t>
      </w:r>
      <w:r w:rsidR="00BE01ED">
        <w:t xml:space="preserve">human blood, fresh human tissue, </w:t>
      </w:r>
      <w:r>
        <w:t xml:space="preserve">or </w:t>
      </w:r>
      <w:r w:rsidR="00BE01ED" w:rsidRPr="00B611CC">
        <w:t>body fluids</w:t>
      </w:r>
      <w:r>
        <w:t xml:space="preserve"> </w:t>
      </w:r>
      <w:r w:rsidR="00BE01ED" w:rsidRPr="00492BA0">
        <w:t>in a research lab or by Upstate research personnel to ensure maximum safety.</w:t>
      </w:r>
    </w:p>
    <w:p w:rsidR="006A4594" w:rsidRDefault="006A4594" w:rsidP="005163A9">
      <w:pPr>
        <w:spacing w:after="120"/>
      </w:pPr>
      <w:r>
        <w:t>All persons working in laboratories that deal with these substances must be informed of the potential hazard and instructed in the procedures needed to avoid exposure and infection.  It is the responsibility of the principal investigator to inform and instruct those persons under his/her supervision.</w:t>
      </w:r>
    </w:p>
    <w:p w:rsidR="006A4594" w:rsidRDefault="006A4594" w:rsidP="005163A9">
      <w:pPr>
        <w:spacing w:after="120"/>
      </w:pPr>
      <w:r>
        <w:t>Specifically excluded from these requirements are hospital and patient-related service activities at University Hospital.  These activities are governed separately under guidelines developed by the Department of Environmental Health &amp; Safety and the Hospital Infections Committee.</w:t>
      </w:r>
    </w:p>
    <w:p w:rsidR="00503433" w:rsidRDefault="00503433" w:rsidP="005163A9">
      <w:pPr>
        <w:spacing w:after="120"/>
        <w:rPr>
          <w:color w:val="000000"/>
        </w:rPr>
      </w:pPr>
      <w:r w:rsidRPr="00492BA0">
        <w:rPr>
          <w:color w:val="000000"/>
        </w:rPr>
        <w:t>The IBC is authorized to inspect research facilities, approve research practices and procedures, and to take actions, such as enforcement or cessation of research activities, in the event of an unsafe workplace situation.</w:t>
      </w:r>
    </w:p>
    <w:p w:rsidR="00B13C28" w:rsidRPr="005163A9" w:rsidRDefault="00042753" w:rsidP="005163A9">
      <w:pPr>
        <w:spacing w:after="120"/>
        <w:rPr>
          <w:color w:val="993300"/>
          <w:sz w:val="32"/>
          <w:szCs w:val="32"/>
        </w:rPr>
      </w:pPr>
      <w:r w:rsidRPr="00847B38">
        <w:t xml:space="preserve">The compliance office retains records for IBC approved projects for a minimum of </w:t>
      </w:r>
      <w:r w:rsidR="0018300D" w:rsidRPr="00847B38">
        <w:t>three years</w:t>
      </w:r>
      <w:r w:rsidRPr="00847B38">
        <w:t xml:space="preserve"> following completion of a study.</w:t>
      </w:r>
    </w:p>
    <w:p w:rsidR="00503433" w:rsidRDefault="00503433" w:rsidP="00847B38">
      <w:pPr>
        <w:spacing w:before="120" w:after="120"/>
        <w:ind w:left="180" w:hanging="360"/>
      </w:pPr>
      <w:r w:rsidRPr="00B13C28">
        <w:rPr>
          <w:color w:val="993300"/>
          <w:sz w:val="32"/>
          <w:szCs w:val="32"/>
        </w:rPr>
        <w:t>II.</w:t>
      </w:r>
      <w:r w:rsidR="008210F3">
        <w:rPr>
          <w:color w:val="993300"/>
          <w:sz w:val="32"/>
          <w:szCs w:val="32"/>
        </w:rPr>
        <w:t xml:space="preserve"> </w:t>
      </w:r>
      <w:r w:rsidRPr="00B13C28">
        <w:rPr>
          <w:color w:val="993300"/>
          <w:sz w:val="32"/>
          <w:szCs w:val="32"/>
        </w:rPr>
        <w:t>Procedures for Reviewing Research Involving Human Blood, Fresh Human Tissue, or Body Fluids</w:t>
      </w:r>
    </w:p>
    <w:p w:rsidR="00CE341A" w:rsidRDefault="00503433" w:rsidP="005163A9">
      <w:pPr>
        <w:spacing w:after="120"/>
      </w:pPr>
      <w:r>
        <w:t>R</w:t>
      </w:r>
      <w:r w:rsidRPr="00A60D6B">
        <w:t xml:space="preserve">eview </w:t>
      </w:r>
      <w:r w:rsidR="00BE7BEB" w:rsidRPr="00C10326">
        <w:t>of the project</w:t>
      </w:r>
      <w:r>
        <w:t xml:space="preserve"> </w:t>
      </w:r>
      <w:r w:rsidR="001A06B8">
        <w:t xml:space="preserve">shall include: </w:t>
      </w:r>
      <w:r w:rsidR="00CE341A">
        <w:t xml:space="preserve">(i) </w:t>
      </w:r>
      <w:r w:rsidRPr="00A60D6B">
        <w:t>assessment of the containment levels required;</w:t>
      </w:r>
      <w:r w:rsidR="00CE341A">
        <w:t xml:space="preserve"> and</w:t>
      </w:r>
      <w:r w:rsidRPr="00A60D6B">
        <w:t xml:space="preserve"> (ii) assessment of the facilities</w:t>
      </w:r>
      <w:r w:rsidR="00B17F88">
        <w:t xml:space="preserve"> (</w:t>
      </w:r>
      <w:r w:rsidR="00B17F88" w:rsidRPr="00B611CC">
        <w:t>a site visit may be required)</w:t>
      </w:r>
      <w:r w:rsidRPr="00B611CC">
        <w:t>,</w:t>
      </w:r>
      <w:r w:rsidRPr="00A60D6B">
        <w:t xml:space="preserve"> procedures, practice</w:t>
      </w:r>
      <w:r w:rsidR="00CE341A">
        <w:t xml:space="preserve">s, and training </w:t>
      </w:r>
      <w:r w:rsidRPr="00A60D6B">
        <w:t>of perso</w:t>
      </w:r>
      <w:r>
        <w:t>nnel involved in the</w:t>
      </w:r>
      <w:r w:rsidR="00CE341A">
        <w:t xml:space="preserve"> research.</w:t>
      </w:r>
      <w:bookmarkStart w:id="0" w:name="Top"/>
      <w:bookmarkEnd w:id="0"/>
      <w:r w:rsidR="00443070" w:rsidRPr="00443070">
        <w:t xml:space="preserve"> </w:t>
      </w:r>
      <w:r w:rsidR="00443070" w:rsidRPr="00B611CC">
        <w:t>Biosafety Level 2 is appropriate when work is done with any human-derived blood, body fluids, tissues, or primary human cell lines where the presence of an infectious agent may be unknown.</w:t>
      </w:r>
    </w:p>
    <w:p w:rsidR="00B17F88" w:rsidRPr="00B17F88" w:rsidRDefault="00CE341A" w:rsidP="005163A9">
      <w:pPr>
        <w:numPr>
          <w:ilvl w:val="0"/>
          <w:numId w:val="4"/>
        </w:numPr>
        <w:spacing w:after="120"/>
        <w:rPr>
          <w:b/>
        </w:rPr>
      </w:pPr>
      <w:r w:rsidRPr="00B17F88">
        <w:t xml:space="preserve">Submission of an </w:t>
      </w:r>
      <w:r w:rsidR="00AD2E91">
        <w:t>IBC A</w:t>
      </w:r>
      <w:r w:rsidRPr="00B17F88">
        <w:t xml:space="preserve">pplication </w:t>
      </w:r>
      <w:r w:rsidR="00AD2E91">
        <w:t xml:space="preserve">Form, </w:t>
      </w:r>
      <w:proofErr w:type="spellStart"/>
      <w:r w:rsidR="00AD2E91">
        <w:t>BioSafety</w:t>
      </w:r>
      <w:proofErr w:type="spellEnd"/>
      <w:r w:rsidRPr="00B17F88">
        <w:t xml:space="preserve"> </w:t>
      </w:r>
      <w:r w:rsidR="00AD2E91">
        <w:t xml:space="preserve">Manual </w:t>
      </w:r>
      <w:r w:rsidR="001E4BF0">
        <w:t>and Study Personnel Form</w:t>
      </w:r>
      <w:r w:rsidRPr="00B17F88">
        <w:t xml:space="preserve"> to the IBC is required for all </w:t>
      </w:r>
      <w:r w:rsidRPr="00B611CC">
        <w:t>experiments and research studies involving</w:t>
      </w:r>
      <w:r w:rsidRPr="00B611CC">
        <w:rPr>
          <w:b/>
        </w:rPr>
        <w:t xml:space="preserve"> </w:t>
      </w:r>
      <w:r w:rsidRPr="00B611CC">
        <w:t>the use of human blood, fresh human tissue, or body fluids</w:t>
      </w:r>
      <w:r>
        <w:t xml:space="preserve"> </w:t>
      </w:r>
      <w:r w:rsidRPr="00492BA0">
        <w:t>in a research lab or</w:t>
      </w:r>
      <w:r>
        <w:t xml:space="preserve"> by Upstate research personnel.</w:t>
      </w:r>
    </w:p>
    <w:p w:rsidR="005163A9" w:rsidRDefault="00B17F88" w:rsidP="005163A9">
      <w:pPr>
        <w:spacing w:before="120" w:after="120"/>
        <w:ind w:left="720" w:hanging="360"/>
      </w:pPr>
      <w:r>
        <w:rPr>
          <w:b/>
        </w:rPr>
        <w:t xml:space="preserve">B. </w:t>
      </w:r>
      <w:r>
        <w:t xml:space="preserve"> </w:t>
      </w:r>
      <w:r w:rsidR="00BE7BEB" w:rsidRPr="00C10326">
        <w:t>The IBC Chair or his/her designee will review the materials for confirmation of investigator assessment</w:t>
      </w:r>
      <w:r w:rsidR="00086FB4">
        <w:t xml:space="preserve">, </w:t>
      </w:r>
      <w:r w:rsidR="00086FB4" w:rsidRPr="00A60D6B">
        <w:t>assessment of the facilities</w:t>
      </w:r>
      <w:r w:rsidR="00086FB4">
        <w:t xml:space="preserve"> (</w:t>
      </w:r>
      <w:r w:rsidR="00086FB4" w:rsidRPr="00B611CC">
        <w:t>a site visit may be required),</w:t>
      </w:r>
      <w:r w:rsidR="00086FB4" w:rsidRPr="00A60D6B">
        <w:t xml:space="preserve"> procedures, practice</w:t>
      </w:r>
      <w:r w:rsidR="00086FB4">
        <w:t xml:space="preserve">s, and training </w:t>
      </w:r>
      <w:r w:rsidR="00086FB4" w:rsidRPr="00A60D6B">
        <w:t>of perso</w:t>
      </w:r>
      <w:r w:rsidR="00086FB4">
        <w:t>nnel involved in the research.</w:t>
      </w:r>
      <w:r w:rsidR="00BE7BEB" w:rsidRPr="00C10326">
        <w:t xml:space="preserve"> The investigator will be notified in writing if further information is required</w:t>
      </w:r>
      <w:r w:rsidR="00086FB4">
        <w:t>. Once the project is approved, a</w:t>
      </w:r>
      <w:r w:rsidR="00BE7BEB" w:rsidRPr="00C10326">
        <w:t xml:space="preserve">n approval </w:t>
      </w:r>
      <w:r w:rsidR="00086FB4">
        <w:t xml:space="preserve">letter with an expiration </w:t>
      </w:r>
      <w:r w:rsidR="00BE7BEB" w:rsidRPr="00C10326">
        <w:t>date will be issued, so that tracking for annual renewal can be initiated.</w:t>
      </w:r>
      <w:r w:rsidR="00053692">
        <w:t xml:space="preserve"> </w:t>
      </w:r>
      <w:r w:rsidR="00053692" w:rsidRPr="006D0DF4">
        <w:t xml:space="preserve">Approval will be granted for a maximum of one year. </w:t>
      </w:r>
      <w:r w:rsidR="00053692" w:rsidRPr="00B55E05">
        <w:t xml:space="preserve">The IBC chair has the discretion to refer any project for review </w:t>
      </w:r>
      <w:r w:rsidR="00053692" w:rsidRPr="006D0DF4">
        <w:t>at a convened meeting of the IBC</w:t>
      </w:r>
      <w:r w:rsidR="00053692">
        <w:t>.</w:t>
      </w:r>
    </w:p>
    <w:p w:rsidR="005163A9" w:rsidRPr="005163A9" w:rsidRDefault="005163A9" w:rsidP="005163A9">
      <w:pPr>
        <w:spacing w:before="120" w:after="120"/>
        <w:ind w:left="720" w:hanging="360"/>
      </w:pPr>
    </w:p>
    <w:p w:rsidR="00B13C28" w:rsidRDefault="006A0153" w:rsidP="005163A9">
      <w:pPr>
        <w:spacing w:after="120"/>
        <w:ind w:left="450" w:hanging="630"/>
      </w:pPr>
      <w:r>
        <w:rPr>
          <w:color w:val="993300"/>
          <w:sz w:val="32"/>
          <w:szCs w:val="32"/>
        </w:rPr>
        <w:lastRenderedPageBreak/>
        <w:t>I</w:t>
      </w:r>
      <w:r w:rsidR="008210F3">
        <w:rPr>
          <w:color w:val="993300"/>
          <w:sz w:val="32"/>
          <w:szCs w:val="32"/>
        </w:rPr>
        <w:t>II</w:t>
      </w:r>
      <w:r w:rsidR="00B13C28" w:rsidRPr="00B13C28">
        <w:rPr>
          <w:color w:val="993300"/>
          <w:sz w:val="32"/>
          <w:szCs w:val="32"/>
        </w:rPr>
        <w:t>.</w:t>
      </w:r>
      <w:r w:rsidR="008210F3">
        <w:rPr>
          <w:color w:val="993300"/>
          <w:sz w:val="32"/>
          <w:szCs w:val="32"/>
        </w:rPr>
        <w:t xml:space="preserve"> </w:t>
      </w:r>
      <w:r w:rsidR="00B13C28" w:rsidRPr="00B13C28">
        <w:rPr>
          <w:color w:val="993300"/>
          <w:sz w:val="32"/>
          <w:szCs w:val="32"/>
        </w:rPr>
        <w:t>Continuing Review of IBC Approved Projects</w:t>
      </w:r>
    </w:p>
    <w:p w:rsidR="00BC4694" w:rsidRDefault="00B13C28" w:rsidP="005163A9">
      <w:pPr>
        <w:spacing w:after="120"/>
      </w:pPr>
      <w:r w:rsidRPr="001C52A0">
        <w:t xml:space="preserve">Annual Review of all </w:t>
      </w:r>
      <w:r w:rsidR="00BC4694">
        <w:t xml:space="preserve">IBC approved </w:t>
      </w:r>
      <w:r w:rsidRPr="001C52A0">
        <w:t>projects is required.</w:t>
      </w:r>
      <w:r>
        <w:t xml:space="preserve">  A</w:t>
      </w:r>
      <w:r w:rsidR="00BC4694">
        <w:t xml:space="preserve">n Annual Protocol Review Form and any other required materials (e.g., Safety Engineered Medical Device Survey) </w:t>
      </w:r>
      <w:r w:rsidR="00BC4694" w:rsidRPr="00847B38">
        <w:t xml:space="preserve">will be </w:t>
      </w:r>
      <w:r w:rsidR="004012F1" w:rsidRPr="00847B38">
        <w:t>made available</w:t>
      </w:r>
      <w:r w:rsidR="00BC4694" w:rsidRPr="00847B38">
        <w:t xml:space="preserve"> to the</w:t>
      </w:r>
      <w:r w:rsidR="00BC4694">
        <w:t xml:space="preserve"> Investigator prior to the expiration date</w:t>
      </w:r>
      <w:r w:rsidR="004012F1">
        <w:t xml:space="preserve">. </w:t>
      </w:r>
      <w:r w:rsidR="00BC4694">
        <w:t>The completed R</w:t>
      </w:r>
      <w:r>
        <w:t xml:space="preserve">eport </w:t>
      </w:r>
      <w:r w:rsidR="00BC4694">
        <w:t>F</w:t>
      </w:r>
      <w:r>
        <w:t>orm</w:t>
      </w:r>
      <w:r w:rsidR="00BC4694">
        <w:t>s</w:t>
      </w:r>
      <w:r>
        <w:t xml:space="preserve"> should be submitted to the IBC </w:t>
      </w:r>
      <w:r w:rsidR="00D35F41">
        <w:t xml:space="preserve">for review </w:t>
      </w:r>
      <w:r w:rsidR="00D35F41" w:rsidRPr="009A4834">
        <w:t>at least one week prior to the project’s expi</w:t>
      </w:r>
      <w:r w:rsidR="00D35F41">
        <w:t>r</w:t>
      </w:r>
      <w:r w:rsidR="00D35F41" w:rsidRPr="009A4834">
        <w:t>ation date</w:t>
      </w:r>
      <w:r w:rsidR="00BC4694">
        <w:t>, to ensure a timely review</w:t>
      </w:r>
      <w:r w:rsidR="00D35F41">
        <w:t xml:space="preserve">. </w:t>
      </w:r>
    </w:p>
    <w:p w:rsidR="00B767E2" w:rsidRDefault="00D35F41" w:rsidP="005163A9">
      <w:pPr>
        <w:spacing w:before="120" w:after="120"/>
      </w:pPr>
      <w:r w:rsidRPr="009A4834">
        <w:t xml:space="preserve">The </w:t>
      </w:r>
      <w:r w:rsidR="00BC4694">
        <w:t xml:space="preserve">investigator will be required to submit a new application for review by the IBC Chair or </w:t>
      </w:r>
      <w:r w:rsidRPr="009A4834">
        <w:t xml:space="preserve">Committee every five years to ensure compliance with the NIH </w:t>
      </w:r>
      <w:r>
        <w:t xml:space="preserve">and Institutional </w:t>
      </w:r>
      <w:r w:rsidRPr="009A4834">
        <w:t xml:space="preserve">Guidelines. </w:t>
      </w:r>
    </w:p>
    <w:p w:rsidR="006A4594" w:rsidRDefault="00B767E2" w:rsidP="005163A9">
      <w:pPr>
        <w:spacing w:before="120" w:after="120"/>
      </w:pPr>
      <w:r>
        <w:t>Once the annual or 5-year renewal is approved, a</w:t>
      </w:r>
      <w:r w:rsidRPr="00C10326">
        <w:t xml:space="preserve">n approval </w:t>
      </w:r>
      <w:r>
        <w:t xml:space="preserve">letter with a new expiration </w:t>
      </w:r>
      <w:r w:rsidRPr="00C10326">
        <w:t>date will be issued, so that tracking for annual renewal can be initiated.</w:t>
      </w:r>
      <w:r>
        <w:t xml:space="preserve"> </w:t>
      </w:r>
      <w:r w:rsidRPr="006D0DF4">
        <w:t xml:space="preserve">Approval will be granted for a maximum of one year. </w:t>
      </w:r>
    </w:p>
    <w:p w:rsidR="008B3781" w:rsidRDefault="008210F3" w:rsidP="005163A9">
      <w:pPr>
        <w:spacing w:before="120" w:after="120"/>
        <w:ind w:left="450" w:hanging="630"/>
      </w:pPr>
      <w:r>
        <w:rPr>
          <w:color w:val="993300"/>
          <w:sz w:val="32"/>
          <w:szCs w:val="32"/>
        </w:rPr>
        <w:t>I</w:t>
      </w:r>
      <w:r w:rsidR="006A0153">
        <w:rPr>
          <w:color w:val="993300"/>
          <w:sz w:val="32"/>
          <w:szCs w:val="32"/>
        </w:rPr>
        <w:t>V.</w:t>
      </w:r>
      <w:r>
        <w:rPr>
          <w:color w:val="993300"/>
          <w:sz w:val="32"/>
          <w:szCs w:val="32"/>
        </w:rPr>
        <w:t xml:space="preserve"> </w:t>
      </w:r>
      <w:r w:rsidR="008B3781">
        <w:rPr>
          <w:color w:val="993300"/>
          <w:sz w:val="32"/>
          <w:szCs w:val="32"/>
        </w:rPr>
        <w:t>Amendments to</w:t>
      </w:r>
      <w:r w:rsidR="008B3781" w:rsidRPr="00B13C28">
        <w:rPr>
          <w:color w:val="993300"/>
          <w:sz w:val="32"/>
          <w:szCs w:val="32"/>
        </w:rPr>
        <w:t xml:space="preserve"> Approved Projects</w:t>
      </w:r>
    </w:p>
    <w:p w:rsidR="00D04DC0" w:rsidRDefault="008B3781" w:rsidP="005163A9">
      <w:pPr>
        <w:spacing w:after="120"/>
      </w:pPr>
      <w:r w:rsidRPr="00FC3F10">
        <w:t xml:space="preserve">Prior to implementing any </w:t>
      </w:r>
      <w:r>
        <w:t xml:space="preserve">changes to an approved project, the </w:t>
      </w:r>
      <w:r w:rsidRPr="00FC3F10">
        <w:t>I</w:t>
      </w:r>
      <w:r>
        <w:t>nvestigator</w:t>
      </w:r>
      <w:r w:rsidR="00B767E2">
        <w:t xml:space="preserve"> will submit a memo outlining the proposed changes and applicable revised materials (e.g., IBC Application Form, </w:t>
      </w:r>
      <w:proofErr w:type="spellStart"/>
      <w:r w:rsidR="00B767E2">
        <w:t>BioSafety</w:t>
      </w:r>
      <w:proofErr w:type="spellEnd"/>
      <w:r w:rsidR="00B767E2">
        <w:t xml:space="preserve"> Manual, Personnel Form</w:t>
      </w:r>
      <w:r w:rsidR="00B52264">
        <w:t>)</w:t>
      </w:r>
      <w:r w:rsidR="00D20A97">
        <w:t xml:space="preserve"> with all changes highlighter or tracked</w:t>
      </w:r>
      <w:r w:rsidRPr="00FC3F10">
        <w:t xml:space="preserve"> to the IBC</w:t>
      </w:r>
      <w:r w:rsidR="00B52264">
        <w:t>.</w:t>
      </w:r>
      <w:r w:rsidR="00B767E2">
        <w:t xml:space="preserve"> </w:t>
      </w:r>
    </w:p>
    <w:p w:rsidR="00B767E2" w:rsidRDefault="008B3781" w:rsidP="005163A9">
      <w:pPr>
        <w:spacing w:before="120" w:after="120"/>
        <w:rPr>
          <w:color w:val="993300"/>
          <w:sz w:val="32"/>
          <w:szCs w:val="32"/>
        </w:rPr>
      </w:pPr>
      <w:r w:rsidRPr="00FC3F10">
        <w:t>Amendments wil</w:t>
      </w:r>
      <w:r w:rsidR="00B767E2">
        <w:t xml:space="preserve">l be reviewed by the </w:t>
      </w:r>
      <w:r w:rsidR="00B52264">
        <w:t>Chair;</w:t>
      </w:r>
      <w:r w:rsidRPr="00FC3F10">
        <w:t xml:space="preserve"> IBC me</w:t>
      </w:r>
      <w:r w:rsidR="00B767E2">
        <w:t>mber designated by the Chair or</w:t>
      </w:r>
      <w:r w:rsidRPr="00FC3F10">
        <w:t xml:space="preserve"> may be referred to the full committee for review if there is a change in risk to the public or employees or if required by the NIH guidelines.</w:t>
      </w:r>
      <w:r w:rsidR="00B767E2">
        <w:t xml:space="preserve"> Once the amendment is approved, a</w:t>
      </w:r>
      <w:r w:rsidR="00B767E2" w:rsidRPr="00C10326">
        <w:t xml:space="preserve">n approval </w:t>
      </w:r>
      <w:r w:rsidR="00B767E2">
        <w:t>letter will be issued.</w:t>
      </w:r>
    </w:p>
    <w:p w:rsidR="00D04DC0" w:rsidRPr="00B13C28" w:rsidRDefault="008B3781" w:rsidP="005163A9">
      <w:pPr>
        <w:spacing w:before="120" w:after="120"/>
        <w:ind w:left="360" w:hanging="540"/>
        <w:rPr>
          <w:color w:val="993300"/>
          <w:sz w:val="32"/>
          <w:szCs w:val="32"/>
        </w:rPr>
      </w:pPr>
      <w:r>
        <w:rPr>
          <w:color w:val="993300"/>
          <w:sz w:val="32"/>
          <w:szCs w:val="32"/>
        </w:rPr>
        <w:t>V</w:t>
      </w:r>
      <w:r w:rsidR="00622688">
        <w:rPr>
          <w:color w:val="993300"/>
          <w:sz w:val="32"/>
          <w:szCs w:val="32"/>
        </w:rPr>
        <w:t>.</w:t>
      </w:r>
      <w:r>
        <w:rPr>
          <w:color w:val="993300"/>
          <w:sz w:val="32"/>
          <w:szCs w:val="32"/>
        </w:rPr>
        <w:t xml:space="preserve"> </w:t>
      </w:r>
      <w:r w:rsidR="006A0153">
        <w:rPr>
          <w:color w:val="993300"/>
          <w:sz w:val="32"/>
          <w:szCs w:val="32"/>
        </w:rPr>
        <w:t>Training Requirements</w:t>
      </w:r>
      <w:bookmarkStart w:id="1" w:name="_GoBack"/>
      <w:bookmarkEnd w:id="1"/>
    </w:p>
    <w:p w:rsidR="005B4C49" w:rsidRPr="005163A9" w:rsidRDefault="006A0153" w:rsidP="005163A9">
      <w:pPr>
        <w:spacing w:after="60"/>
      </w:pPr>
      <w:r w:rsidRPr="005163A9">
        <w:t xml:space="preserve">All employees must </w:t>
      </w:r>
      <w:r w:rsidR="005B4C49" w:rsidRPr="005163A9">
        <w:t xml:space="preserve">complete: </w:t>
      </w:r>
    </w:p>
    <w:p w:rsidR="005B4C49" w:rsidRPr="005163A9" w:rsidRDefault="00B52264" w:rsidP="00847B38">
      <w:pPr>
        <w:pStyle w:val="ListParagraph"/>
        <w:numPr>
          <w:ilvl w:val="0"/>
          <w:numId w:val="6"/>
        </w:numPr>
        <w:tabs>
          <w:tab w:val="left" w:pos="1517"/>
          <w:tab w:val="left" w:pos="1518"/>
          <w:tab w:val="left" w:pos="5041"/>
        </w:tabs>
        <w:spacing w:before="60"/>
        <w:rPr>
          <w:i/>
          <w:sz w:val="24"/>
          <w:szCs w:val="24"/>
        </w:rPr>
      </w:pPr>
      <w:r w:rsidRPr="005163A9">
        <w:rPr>
          <w:sz w:val="24"/>
          <w:szCs w:val="24"/>
        </w:rPr>
        <w:t>Blackboard Training</w:t>
      </w:r>
      <w:r w:rsidR="005B4C49" w:rsidRPr="005163A9">
        <w:rPr>
          <w:w w:val="110"/>
          <w:sz w:val="24"/>
          <w:szCs w:val="24"/>
        </w:rPr>
        <w:t xml:space="preserve"> </w:t>
      </w:r>
      <w:r w:rsidR="005B4C49" w:rsidRPr="005163A9">
        <w:rPr>
          <w:i/>
          <w:w w:val="110"/>
          <w:sz w:val="24"/>
          <w:szCs w:val="24"/>
        </w:rPr>
        <w:t>(Required</w:t>
      </w:r>
      <w:r w:rsidR="005B4C49" w:rsidRPr="005163A9">
        <w:rPr>
          <w:i/>
          <w:spacing w:val="21"/>
          <w:w w:val="110"/>
          <w:sz w:val="24"/>
          <w:szCs w:val="24"/>
        </w:rPr>
        <w:t xml:space="preserve"> </w:t>
      </w:r>
      <w:r w:rsidR="005B4C49" w:rsidRPr="005163A9">
        <w:rPr>
          <w:i/>
          <w:w w:val="110"/>
          <w:sz w:val="24"/>
          <w:szCs w:val="24"/>
        </w:rPr>
        <w:t>Annually)</w:t>
      </w:r>
    </w:p>
    <w:p w:rsidR="005B4C49" w:rsidRPr="005163A9" w:rsidRDefault="005B4C49" w:rsidP="00847B38">
      <w:pPr>
        <w:pStyle w:val="ListParagraph"/>
        <w:numPr>
          <w:ilvl w:val="1"/>
          <w:numId w:val="6"/>
        </w:numPr>
        <w:tabs>
          <w:tab w:val="left" w:pos="1517"/>
          <w:tab w:val="left" w:pos="1518"/>
          <w:tab w:val="left" w:pos="5041"/>
        </w:tabs>
        <w:spacing w:before="60"/>
        <w:rPr>
          <w:i/>
          <w:sz w:val="24"/>
          <w:szCs w:val="24"/>
        </w:rPr>
      </w:pPr>
      <w:r w:rsidRPr="005163A9">
        <w:rPr>
          <w:w w:val="105"/>
          <w:sz w:val="24"/>
          <w:szCs w:val="24"/>
        </w:rPr>
        <w:t>Laboratory Safety Course</w:t>
      </w:r>
      <w:r w:rsidRPr="005163A9">
        <w:rPr>
          <w:spacing w:val="60"/>
          <w:w w:val="105"/>
          <w:sz w:val="24"/>
          <w:szCs w:val="24"/>
        </w:rPr>
        <w:t xml:space="preserve"> </w:t>
      </w:r>
      <w:r w:rsidRPr="005163A9">
        <w:rPr>
          <w:w w:val="105"/>
          <w:sz w:val="24"/>
          <w:szCs w:val="24"/>
        </w:rPr>
        <w:t>(#UH333)</w:t>
      </w:r>
    </w:p>
    <w:p w:rsidR="005B4C49" w:rsidRPr="005163A9" w:rsidRDefault="005B4C49" w:rsidP="00847B38">
      <w:pPr>
        <w:pStyle w:val="ListParagraph"/>
        <w:numPr>
          <w:ilvl w:val="1"/>
          <w:numId w:val="6"/>
        </w:numPr>
        <w:tabs>
          <w:tab w:val="left" w:pos="1529"/>
          <w:tab w:val="left" w:pos="1530"/>
          <w:tab w:val="left" w:pos="5041"/>
        </w:tabs>
        <w:spacing w:before="60" w:after="60"/>
        <w:rPr>
          <w:i/>
          <w:sz w:val="24"/>
          <w:szCs w:val="24"/>
        </w:rPr>
      </w:pPr>
      <w:r w:rsidRPr="005163A9">
        <w:rPr>
          <w:w w:val="105"/>
          <w:sz w:val="24"/>
          <w:szCs w:val="24"/>
        </w:rPr>
        <w:t>Blood Borne Pathogens Course (#UH8794) (Required for BSL2</w:t>
      </w:r>
      <w:r w:rsidRPr="005163A9">
        <w:rPr>
          <w:spacing w:val="8"/>
          <w:w w:val="105"/>
          <w:sz w:val="24"/>
          <w:szCs w:val="24"/>
        </w:rPr>
        <w:t xml:space="preserve"> </w:t>
      </w:r>
      <w:r w:rsidRPr="005163A9">
        <w:rPr>
          <w:w w:val="105"/>
          <w:sz w:val="24"/>
          <w:szCs w:val="24"/>
        </w:rPr>
        <w:t>Labs)</w:t>
      </w:r>
    </w:p>
    <w:p w:rsidR="002A2FE8" w:rsidRPr="005163A9" w:rsidRDefault="00B52264" w:rsidP="00847B38">
      <w:pPr>
        <w:numPr>
          <w:ilvl w:val="0"/>
          <w:numId w:val="6"/>
        </w:numPr>
        <w:spacing w:before="60" w:after="60"/>
      </w:pPr>
      <w:r w:rsidRPr="005163A9">
        <w:t>CITI Training</w:t>
      </w:r>
      <w:r w:rsidR="002A2FE8" w:rsidRPr="005163A9">
        <w:t xml:space="preserve"> </w:t>
      </w:r>
      <w:r w:rsidR="002A2FE8" w:rsidRPr="005163A9">
        <w:rPr>
          <w:i/>
        </w:rPr>
        <w:t>(Required every 4 years)</w:t>
      </w:r>
    </w:p>
    <w:p w:rsidR="002A2FE8" w:rsidRPr="005163A9" w:rsidRDefault="002A2FE8" w:rsidP="00847B38">
      <w:pPr>
        <w:numPr>
          <w:ilvl w:val="1"/>
          <w:numId w:val="6"/>
        </w:numPr>
        <w:spacing w:before="60" w:after="60"/>
      </w:pPr>
      <w:r w:rsidRPr="005163A9">
        <w:t xml:space="preserve">Responsible Conduct of Research Course </w:t>
      </w:r>
    </w:p>
    <w:p w:rsidR="002A2FE8" w:rsidRPr="005163A9" w:rsidRDefault="002A2FE8" w:rsidP="00847B38">
      <w:pPr>
        <w:numPr>
          <w:ilvl w:val="0"/>
          <w:numId w:val="6"/>
        </w:numPr>
        <w:spacing w:before="60" w:after="60"/>
      </w:pPr>
      <w:r w:rsidRPr="005163A9">
        <w:t>Training by their laboratory supervisor.</w:t>
      </w:r>
    </w:p>
    <w:p w:rsidR="0097683E" w:rsidRDefault="0097683E" w:rsidP="00A1181C"/>
    <w:p w:rsidR="008210F3" w:rsidRPr="00847B38" w:rsidRDefault="008210F3" w:rsidP="00847B38">
      <w:pPr>
        <w:spacing w:after="60"/>
        <w:ind w:right="-360" w:hanging="720"/>
        <w:rPr>
          <w:sz w:val="28"/>
          <w:szCs w:val="28"/>
        </w:rPr>
      </w:pPr>
      <w:r w:rsidRPr="00847B38">
        <w:rPr>
          <w:rFonts w:ascii="Tms Rmn" w:hAnsi="Tms Rmn"/>
          <w:color w:val="800000"/>
          <w:sz w:val="28"/>
          <w:szCs w:val="28"/>
        </w:rPr>
        <w:t>Questions concerning this policy or the IBC approval process may be directed to:</w:t>
      </w:r>
    </w:p>
    <w:p w:rsidR="008210F3" w:rsidRPr="008210F3" w:rsidRDefault="004D689D" w:rsidP="00847B38">
      <w:pPr>
        <w:spacing w:after="60"/>
        <w:ind w:left="-360"/>
        <w:rPr>
          <w:rFonts w:asciiTheme="minorHAnsi" w:hAnsiTheme="minorHAnsi" w:cstheme="minorHAnsi"/>
          <w:sz w:val="22"/>
          <w:szCs w:val="22"/>
        </w:rPr>
      </w:pPr>
      <w:r>
        <w:rPr>
          <w:rFonts w:asciiTheme="minorHAnsi" w:hAnsiTheme="minorHAnsi" w:cstheme="minorHAnsi"/>
          <w:sz w:val="22"/>
          <w:szCs w:val="22"/>
        </w:rPr>
        <w:t>Jean DeCicco</w:t>
      </w:r>
      <w:r w:rsidR="008210F3" w:rsidRPr="008210F3">
        <w:rPr>
          <w:rFonts w:asciiTheme="minorHAnsi" w:hAnsiTheme="minorHAnsi" w:cstheme="minorHAnsi"/>
          <w:sz w:val="22"/>
          <w:szCs w:val="22"/>
        </w:rPr>
        <w:tab/>
      </w:r>
      <w:r w:rsidR="008210F3" w:rsidRPr="008210F3">
        <w:rPr>
          <w:rFonts w:asciiTheme="minorHAnsi" w:hAnsiTheme="minorHAnsi" w:cstheme="minorHAnsi"/>
          <w:sz w:val="22"/>
          <w:szCs w:val="22"/>
        </w:rPr>
        <w:tab/>
      </w:r>
      <w:r w:rsidR="008210F3" w:rsidRPr="008210F3">
        <w:rPr>
          <w:rFonts w:asciiTheme="minorHAnsi" w:hAnsiTheme="minorHAnsi" w:cstheme="minorHAnsi"/>
          <w:sz w:val="22"/>
          <w:szCs w:val="22"/>
        </w:rPr>
        <w:tab/>
      </w:r>
      <w:r w:rsidR="008210F3" w:rsidRPr="008210F3">
        <w:rPr>
          <w:rFonts w:asciiTheme="minorHAnsi" w:hAnsiTheme="minorHAnsi" w:cstheme="minorHAnsi"/>
          <w:sz w:val="22"/>
          <w:szCs w:val="22"/>
        </w:rPr>
        <w:tab/>
        <w:t>Paul Massa, PhD</w:t>
      </w:r>
      <w:r w:rsidR="008210F3" w:rsidRPr="008210F3">
        <w:rPr>
          <w:rFonts w:asciiTheme="minorHAnsi" w:hAnsiTheme="minorHAnsi" w:cstheme="minorHAnsi"/>
          <w:sz w:val="22"/>
          <w:szCs w:val="22"/>
        </w:rPr>
        <w:tab/>
      </w:r>
      <w:r w:rsidR="008210F3" w:rsidRPr="008210F3">
        <w:rPr>
          <w:rFonts w:asciiTheme="minorHAnsi" w:hAnsiTheme="minorHAnsi" w:cstheme="minorHAnsi"/>
          <w:sz w:val="22"/>
          <w:szCs w:val="22"/>
        </w:rPr>
        <w:tab/>
        <w:t>Robert Andrus</w:t>
      </w:r>
    </w:p>
    <w:p w:rsidR="008210F3" w:rsidRPr="008210F3" w:rsidRDefault="004D689D" w:rsidP="00847B38">
      <w:pPr>
        <w:ind w:left="-360"/>
        <w:rPr>
          <w:rFonts w:asciiTheme="minorHAnsi" w:hAnsiTheme="minorHAnsi" w:cstheme="minorHAnsi"/>
          <w:sz w:val="22"/>
          <w:szCs w:val="22"/>
        </w:rPr>
      </w:pPr>
      <w:r>
        <w:rPr>
          <w:rFonts w:asciiTheme="minorHAnsi" w:hAnsiTheme="minorHAnsi" w:cstheme="minorHAnsi"/>
          <w:sz w:val="22"/>
          <w:szCs w:val="22"/>
        </w:rPr>
        <w:t>IRB Coordinator/IBC Administrator</w:t>
      </w:r>
      <w:r w:rsidR="008210F3" w:rsidRPr="008210F3">
        <w:rPr>
          <w:rFonts w:asciiTheme="minorHAnsi" w:hAnsiTheme="minorHAnsi" w:cstheme="minorHAnsi"/>
          <w:sz w:val="22"/>
          <w:szCs w:val="22"/>
        </w:rPr>
        <w:tab/>
      </w:r>
      <w:r w:rsidR="008210F3" w:rsidRPr="008210F3">
        <w:rPr>
          <w:rFonts w:asciiTheme="minorHAnsi" w:hAnsiTheme="minorHAnsi" w:cstheme="minorHAnsi"/>
          <w:sz w:val="22"/>
          <w:szCs w:val="22"/>
        </w:rPr>
        <w:tab/>
        <w:t>IBC Chair</w:t>
      </w:r>
      <w:r w:rsidR="008210F3" w:rsidRPr="008210F3">
        <w:rPr>
          <w:rFonts w:asciiTheme="minorHAnsi" w:hAnsiTheme="minorHAnsi" w:cstheme="minorHAnsi"/>
          <w:sz w:val="22"/>
          <w:szCs w:val="22"/>
        </w:rPr>
        <w:tab/>
      </w:r>
      <w:r w:rsidR="008210F3" w:rsidRPr="008210F3">
        <w:rPr>
          <w:rFonts w:asciiTheme="minorHAnsi" w:hAnsiTheme="minorHAnsi" w:cstheme="minorHAnsi"/>
          <w:sz w:val="22"/>
          <w:szCs w:val="22"/>
        </w:rPr>
        <w:tab/>
      </w:r>
      <w:r w:rsidR="008210F3" w:rsidRPr="008210F3">
        <w:rPr>
          <w:rFonts w:asciiTheme="minorHAnsi" w:hAnsiTheme="minorHAnsi" w:cstheme="minorHAnsi"/>
          <w:sz w:val="22"/>
          <w:szCs w:val="22"/>
        </w:rPr>
        <w:tab/>
      </w:r>
      <w:proofErr w:type="spellStart"/>
      <w:r w:rsidR="008210F3" w:rsidRPr="008210F3">
        <w:rPr>
          <w:rFonts w:asciiTheme="minorHAnsi" w:hAnsiTheme="minorHAnsi" w:cstheme="minorHAnsi"/>
          <w:sz w:val="22"/>
          <w:szCs w:val="22"/>
        </w:rPr>
        <w:t>BioSafety</w:t>
      </w:r>
      <w:proofErr w:type="spellEnd"/>
      <w:r w:rsidR="008210F3">
        <w:rPr>
          <w:rFonts w:asciiTheme="minorHAnsi" w:hAnsiTheme="minorHAnsi" w:cstheme="minorHAnsi"/>
          <w:sz w:val="22"/>
          <w:szCs w:val="22"/>
        </w:rPr>
        <w:t xml:space="preserve"> </w:t>
      </w:r>
      <w:r w:rsidR="008210F3" w:rsidRPr="008210F3">
        <w:rPr>
          <w:rFonts w:asciiTheme="minorHAnsi" w:hAnsiTheme="minorHAnsi" w:cstheme="minorHAnsi"/>
          <w:sz w:val="22"/>
          <w:szCs w:val="22"/>
        </w:rPr>
        <w:t>Officer</w:t>
      </w:r>
    </w:p>
    <w:p w:rsidR="008210F3" w:rsidRPr="008210F3" w:rsidRDefault="004D689D" w:rsidP="00847B38">
      <w:pPr>
        <w:ind w:left="-360"/>
        <w:rPr>
          <w:rFonts w:asciiTheme="minorHAnsi" w:hAnsiTheme="minorHAnsi" w:cstheme="minorHAnsi"/>
          <w:sz w:val="22"/>
          <w:szCs w:val="22"/>
        </w:rPr>
      </w:pPr>
      <w:hyperlink r:id="rId7" w:history="1">
        <w:r w:rsidRPr="00D950FE">
          <w:rPr>
            <w:rStyle w:val="Hyperlink"/>
            <w:rFonts w:asciiTheme="minorHAnsi" w:hAnsiTheme="minorHAnsi" w:cstheme="minorHAnsi"/>
            <w:sz w:val="22"/>
            <w:szCs w:val="22"/>
          </w:rPr>
          <w:t>deciccoj@upstate.edu</w:t>
        </w:r>
      </w:hyperlink>
      <w:r w:rsidR="008210F3" w:rsidRPr="008210F3">
        <w:rPr>
          <w:rFonts w:asciiTheme="minorHAnsi" w:hAnsiTheme="minorHAnsi" w:cstheme="minorHAnsi"/>
          <w:sz w:val="22"/>
          <w:szCs w:val="22"/>
        </w:rPr>
        <w:tab/>
      </w:r>
      <w:r w:rsidR="008210F3">
        <w:rPr>
          <w:rFonts w:asciiTheme="minorHAnsi" w:hAnsiTheme="minorHAnsi" w:cstheme="minorHAnsi"/>
          <w:sz w:val="22"/>
          <w:szCs w:val="22"/>
        </w:rPr>
        <w:tab/>
      </w:r>
      <w:r w:rsidR="008210F3" w:rsidRPr="008210F3">
        <w:rPr>
          <w:rFonts w:asciiTheme="minorHAnsi" w:hAnsiTheme="minorHAnsi" w:cstheme="minorHAnsi"/>
          <w:sz w:val="22"/>
          <w:szCs w:val="22"/>
        </w:rPr>
        <w:tab/>
      </w:r>
      <w:hyperlink r:id="rId8" w:history="1">
        <w:r w:rsidR="008210F3" w:rsidRPr="004011AD">
          <w:rPr>
            <w:rStyle w:val="Hyperlink"/>
            <w:rFonts w:asciiTheme="minorHAnsi" w:hAnsiTheme="minorHAnsi" w:cstheme="minorHAnsi"/>
            <w:sz w:val="22"/>
            <w:szCs w:val="22"/>
          </w:rPr>
          <w:t>MASSAP@upstate.edu</w:t>
        </w:r>
      </w:hyperlink>
      <w:r w:rsidR="008210F3" w:rsidRPr="008210F3">
        <w:rPr>
          <w:rFonts w:asciiTheme="minorHAnsi" w:hAnsiTheme="minorHAnsi" w:cstheme="minorHAnsi"/>
          <w:sz w:val="22"/>
          <w:szCs w:val="22"/>
        </w:rPr>
        <w:tab/>
      </w:r>
      <w:r w:rsidR="008210F3" w:rsidRPr="008210F3">
        <w:rPr>
          <w:rFonts w:asciiTheme="minorHAnsi" w:hAnsiTheme="minorHAnsi" w:cstheme="minorHAnsi"/>
          <w:sz w:val="22"/>
          <w:szCs w:val="22"/>
        </w:rPr>
        <w:tab/>
      </w:r>
      <w:hyperlink r:id="rId9" w:history="1">
        <w:r w:rsidR="008210F3" w:rsidRPr="008210F3">
          <w:rPr>
            <w:rFonts w:asciiTheme="minorHAnsi" w:hAnsiTheme="minorHAnsi" w:cstheme="minorHAnsi"/>
            <w:color w:val="0000FF"/>
            <w:sz w:val="22"/>
            <w:szCs w:val="22"/>
            <w:u w:val="single"/>
          </w:rPr>
          <w:t>andrusr@upstate.edu</w:t>
        </w:r>
      </w:hyperlink>
    </w:p>
    <w:p w:rsidR="007D3E51" w:rsidRDefault="008210F3" w:rsidP="00847B38">
      <w:pPr>
        <w:ind w:left="-360"/>
      </w:pPr>
      <w:r w:rsidRPr="008210F3">
        <w:rPr>
          <w:rFonts w:asciiTheme="minorHAnsi" w:hAnsiTheme="minorHAnsi" w:cstheme="minorHAnsi"/>
          <w:sz w:val="22"/>
          <w:szCs w:val="22"/>
        </w:rPr>
        <w:t>Phone: 464-4317</w:t>
      </w:r>
      <w:r w:rsidRPr="008210F3">
        <w:rPr>
          <w:rFonts w:asciiTheme="minorHAnsi" w:hAnsiTheme="minorHAnsi" w:cstheme="minorHAnsi"/>
          <w:sz w:val="22"/>
          <w:szCs w:val="22"/>
        </w:rPr>
        <w:tab/>
      </w:r>
      <w:r w:rsidRPr="008210F3">
        <w:rPr>
          <w:rFonts w:asciiTheme="minorHAnsi" w:hAnsiTheme="minorHAnsi" w:cstheme="minorHAnsi"/>
          <w:sz w:val="22"/>
          <w:szCs w:val="22"/>
        </w:rPr>
        <w:tab/>
      </w:r>
      <w:r w:rsidRPr="008210F3">
        <w:rPr>
          <w:rFonts w:asciiTheme="minorHAnsi" w:hAnsiTheme="minorHAnsi" w:cstheme="minorHAnsi"/>
          <w:sz w:val="22"/>
          <w:szCs w:val="22"/>
        </w:rPr>
        <w:tab/>
      </w:r>
      <w:r>
        <w:rPr>
          <w:rFonts w:asciiTheme="minorHAnsi" w:hAnsiTheme="minorHAnsi" w:cstheme="minorHAnsi"/>
          <w:sz w:val="22"/>
          <w:szCs w:val="22"/>
        </w:rPr>
        <w:tab/>
      </w:r>
      <w:r w:rsidRPr="008210F3">
        <w:rPr>
          <w:rFonts w:asciiTheme="minorHAnsi" w:hAnsiTheme="minorHAnsi" w:cstheme="minorHAnsi"/>
          <w:sz w:val="22"/>
          <w:szCs w:val="22"/>
        </w:rPr>
        <w:t>Phone:</w:t>
      </w:r>
      <w:r w:rsidRPr="008210F3">
        <w:rPr>
          <w:rFonts w:asciiTheme="minorHAnsi" w:hAnsiTheme="minorHAnsi" w:cstheme="minorHAnsi"/>
          <w:color w:val="4A4D3B"/>
          <w:sz w:val="22"/>
          <w:szCs w:val="22"/>
        </w:rPr>
        <w:t xml:space="preserve"> </w:t>
      </w:r>
      <w:r w:rsidRPr="008210F3">
        <w:rPr>
          <w:rFonts w:asciiTheme="minorHAnsi" w:hAnsiTheme="minorHAnsi" w:cstheme="minorHAnsi"/>
          <w:sz w:val="22"/>
          <w:szCs w:val="22"/>
        </w:rPr>
        <w:t>464-7606</w:t>
      </w:r>
      <w:r w:rsidRPr="008210F3">
        <w:rPr>
          <w:rFonts w:asciiTheme="minorHAnsi" w:hAnsiTheme="minorHAnsi" w:cstheme="minorHAnsi"/>
          <w:sz w:val="22"/>
          <w:szCs w:val="22"/>
        </w:rPr>
        <w:tab/>
      </w:r>
      <w:r w:rsidRPr="008210F3">
        <w:rPr>
          <w:rFonts w:asciiTheme="minorHAnsi" w:hAnsiTheme="minorHAnsi" w:cstheme="minorHAnsi"/>
          <w:sz w:val="22"/>
          <w:szCs w:val="22"/>
        </w:rPr>
        <w:tab/>
        <w:t>Phone: 464-4019</w:t>
      </w:r>
    </w:p>
    <w:sectPr w:rsidR="007D3E51" w:rsidSect="00847B38">
      <w:headerReference w:type="default" r:id="rId10"/>
      <w:footerReference w:type="even" r:id="rId11"/>
      <w:footerReference w:type="default" r:id="rId12"/>
      <w:pgSz w:w="12240" w:h="15840"/>
      <w:pgMar w:top="540" w:right="1800" w:bottom="900" w:left="1800" w:header="270" w:footer="4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212" w:rsidRDefault="00127212">
      <w:r>
        <w:separator/>
      </w:r>
    </w:p>
  </w:endnote>
  <w:endnote w:type="continuationSeparator" w:id="0">
    <w:p w:rsidR="00127212" w:rsidRDefault="0012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F66" w:rsidRDefault="00C2091A">
    <w:pPr>
      <w:pStyle w:val="Footer"/>
      <w:framePr w:wrap="around" w:vAnchor="text" w:hAnchor="margin" w:xAlign="right" w:y="1"/>
      <w:rPr>
        <w:rStyle w:val="PageNumber"/>
      </w:rPr>
    </w:pPr>
    <w:r>
      <w:rPr>
        <w:rStyle w:val="PageNumber"/>
      </w:rPr>
      <w:fldChar w:fldCharType="begin"/>
    </w:r>
    <w:r w:rsidR="00660F66">
      <w:rPr>
        <w:rStyle w:val="PageNumber"/>
      </w:rPr>
      <w:instrText xml:space="preserve">PAGE  </w:instrText>
    </w:r>
    <w:r>
      <w:rPr>
        <w:rStyle w:val="PageNumber"/>
      </w:rPr>
      <w:fldChar w:fldCharType="end"/>
    </w:r>
  </w:p>
  <w:p w:rsidR="00660F66" w:rsidRDefault="00660F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F66" w:rsidRDefault="008210F3">
    <w:pPr>
      <w:pStyle w:val="Footer"/>
      <w:ind w:right="360"/>
    </w:pPr>
    <w:r>
      <w:t xml:space="preserve">Version </w:t>
    </w:r>
    <w:r w:rsidR="003B0613">
      <w:t>4</w:t>
    </w:r>
    <w:r w:rsidRPr="001D38F7">
      <w:t>/</w:t>
    </w:r>
    <w:r w:rsidR="003B0613">
      <w:t>29</w:t>
    </w:r>
    <w:r w:rsidRPr="001D38F7">
      <w:t>/</w:t>
    </w:r>
    <w:r>
      <w:t>2</w:t>
    </w:r>
    <w:r w:rsidR="003B0613">
      <w:t>2</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212" w:rsidRDefault="00127212">
      <w:r>
        <w:separator/>
      </w:r>
    </w:p>
  </w:footnote>
  <w:footnote w:type="continuationSeparator" w:id="0">
    <w:p w:rsidR="00127212" w:rsidRDefault="00127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2F1" w:rsidRPr="005163A9" w:rsidRDefault="005163A9">
    <w:pPr>
      <w:pStyle w:val="Header"/>
      <w:rPr>
        <w:color w:val="808080" w:themeColor="background1" w:themeShade="80"/>
      </w:rPr>
    </w:pPr>
    <w:r w:rsidRPr="005163A9">
      <w:rPr>
        <w:noProof/>
        <w:color w:val="808080"/>
        <w:sz w:val="30"/>
        <w:szCs w:val="30"/>
      </w:rPr>
      <w:drawing>
        <wp:anchor distT="0" distB="0" distL="114300" distR="114300" simplePos="0" relativeHeight="251658240" behindDoc="0" locked="0" layoutInCell="1" allowOverlap="0">
          <wp:simplePos x="0" y="0"/>
          <wp:positionH relativeFrom="column">
            <wp:posOffset>-898525</wp:posOffset>
          </wp:positionH>
          <wp:positionV relativeFrom="paragraph">
            <wp:posOffset>-95885</wp:posOffset>
          </wp:positionV>
          <wp:extent cx="979714" cy="699383"/>
          <wp:effectExtent l="0" t="0" r="0" b="5715"/>
          <wp:wrapNone/>
          <wp:docPr id="1" name="Picture 1" descr="http://www.upstate.edu/publicaffairs/intra/logos/images/umu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pstate.edu/publicaffairs/intra/logos/images/umu_header.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79714" cy="699383"/>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808080" w:themeColor="background1" w:themeShade="80"/>
        <w:sz w:val="30"/>
        <w:szCs w:val="30"/>
      </w:rPr>
      <w:t xml:space="preserve">               </w:t>
    </w:r>
    <w:r w:rsidRPr="005163A9">
      <w:rPr>
        <w:color w:val="808080" w:themeColor="background1" w:themeShade="80"/>
      </w:rPr>
      <w:t>Upstate Medical University: Institutional Bio-Safety Committee (IBC)</w:t>
    </w:r>
  </w:p>
  <w:p w:rsidR="005163A9" w:rsidRDefault="005163A9">
    <w:pPr>
      <w:pStyle w:val="Header"/>
      <w:rPr>
        <w:color w:val="808080" w:themeColor="background1" w:themeShade="80"/>
        <w:sz w:val="30"/>
        <w:szCs w:val="30"/>
      </w:rPr>
    </w:pPr>
  </w:p>
  <w:p w:rsidR="005163A9" w:rsidRDefault="00516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94C8C"/>
    <w:multiLevelType w:val="hybridMultilevel"/>
    <w:tmpl w:val="DBC0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91FC4"/>
    <w:multiLevelType w:val="hybridMultilevel"/>
    <w:tmpl w:val="C186D35A"/>
    <w:lvl w:ilvl="0" w:tplc="BB428ACA">
      <w:numFmt w:val="bullet"/>
      <w:lvlText w:val="•"/>
      <w:lvlJc w:val="left"/>
      <w:pPr>
        <w:ind w:left="1517" w:hanging="374"/>
      </w:pPr>
      <w:rPr>
        <w:rFonts w:ascii="Times New Roman" w:eastAsia="Times New Roman" w:hAnsi="Times New Roman" w:cs="Times New Roman" w:hint="default"/>
        <w:w w:val="93"/>
        <w:sz w:val="35"/>
        <w:szCs w:val="35"/>
      </w:rPr>
    </w:lvl>
    <w:lvl w:ilvl="1" w:tplc="EC5E72BC">
      <w:numFmt w:val="bullet"/>
      <w:lvlText w:val="o"/>
      <w:lvlJc w:val="left"/>
      <w:pPr>
        <w:ind w:left="2341" w:hanging="353"/>
      </w:pPr>
      <w:rPr>
        <w:rFonts w:hint="default"/>
        <w:w w:val="104"/>
      </w:rPr>
    </w:lvl>
    <w:lvl w:ilvl="2" w:tplc="03760072">
      <w:numFmt w:val="bullet"/>
      <w:lvlText w:val="•"/>
      <w:lvlJc w:val="left"/>
      <w:pPr>
        <w:ind w:left="2340" w:hanging="353"/>
      </w:pPr>
      <w:rPr>
        <w:rFonts w:hint="default"/>
      </w:rPr>
    </w:lvl>
    <w:lvl w:ilvl="3" w:tplc="5AA49A8A">
      <w:numFmt w:val="bullet"/>
      <w:lvlText w:val="•"/>
      <w:lvlJc w:val="left"/>
      <w:pPr>
        <w:ind w:left="3471" w:hanging="353"/>
      </w:pPr>
      <w:rPr>
        <w:rFonts w:hint="default"/>
      </w:rPr>
    </w:lvl>
    <w:lvl w:ilvl="4" w:tplc="0E5A121A">
      <w:numFmt w:val="bullet"/>
      <w:lvlText w:val="•"/>
      <w:lvlJc w:val="left"/>
      <w:pPr>
        <w:ind w:left="4602" w:hanging="353"/>
      </w:pPr>
      <w:rPr>
        <w:rFonts w:hint="default"/>
      </w:rPr>
    </w:lvl>
    <w:lvl w:ilvl="5" w:tplc="C36C79D6">
      <w:numFmt w:val="bullet"/>
      <w:lvlText w:val="•"/>
      <w:lvlJc w:val="left"/>
      <w:pPr>
        <w:ind w:left="5733" w:hanging="353"/>
      </w:pPr>
      <w:rPr>
        <w:rFonts w:hint="default"/>
      </w:rPr>
    </w:lvl>
    <w:lvl w:ilvl="6" w:tplc="8B560694">
      <w:numFmt w:val="bullet"/>
      <w:lvlText w:val="•"/>
      <w:lvlJc w:val="left"/>
      <w:pPr>
        <w:ind w:left="6864" w:hanging="353"/>
      </w:pPr>
      <w:rPr>
        <w:rFonts w:hint="default"/>
      </w:rPr>
    </w:lvl>
    <w:lvl w:ilvl="7" w:tplc="CFDA9E58">
      <w:numFmt w:val="bullet"/>
      <w:lvlText w:val="•"/>
      <w:lvlJc w:val="left"/>
      <w:pPr>
        <w:ind w:left="7995" w:hanging="353"/>
      </w:pPr>
      <w:rPr>
        <w:rFonts w:hint="default"/>
      </w:rPr>
    </w:lvl>
    <w:lvl w:ilvl="8" w:tplc="15C22978">
      <w:numFmt w:val="bullet"/>
      <w:lvlText w:val="•"/>
      <w:lvlJc w:val="left"/>
      <w:pPr>
        <w:ind w:left="9126" w:hanging="353"/>
      </w:pPr>
      <w:rPr>
        <w:rFonts w:hint="default"/>
      </w:rPr>
    </w:lvl>
  </w:abstractNum>
  <w:abstractNum w:abstractNumId="2" w15:restartNumberingAfterBreak="0">
    <w:nsid w:val="15772E70"/>
    <w:multiLevelType w:val="hybridMultilevel"/>
    <w:tmpl w:val="9E2C772E"/>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E27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49C3623"/>
    <w:multiLevelType w:val="hybridMultilevel"/>
    <w:tmpl w:val="6A4EAEB0"/>
    <w:lvl w:ilvl="0" w:tplc="94BA2BB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CC4D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90A4DC4"/>
    <w:multiLevelType w:val="hybridMultilevel"/>
    <w:tmpl w:val="085E3C0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E51"/>
    <w:rsid w:val="00014884"/>
    <w:rsid w:val="00032927"/>
    <w:rsid w:val="00042753"/>
    <w:rsid w:val="00053692"/>
    <w:rsid w:val="00065CE1"/>
    <w:rsid w:val="00076927"/>
    <w:rsid w:val="00086FB4"/>
    <w:rsid w:val="00087D79"/>
    <w:rsid w:val="00127212"/>
    <w:rsid w:val="0015486A"/>
    <w:rsid w:val="0018300D"/>
    <w:rsid w:val="001A06B8"/>
    <w:rsid w:val="001D026C"/>
    <w:rsid w:val="001D0369"/>
    <w:rsid w:val="001D38F7"/>
    <w:rsid w:val="001E4BF0"/>
    <w:rsid w:val="002A2FE8"/>
    <w:rsid w:val="00344FD3"/>
    <w:rsid w:val="003A5FE9"/>
    <w:rsid w:val="003B0613"/>
    <w:rsid w:val="004012F1"/>
    <w:rsid w:val="00412449"/>
    <w:rsid w:val="00443070"/>
    <w:rsid w:val="004C3A13"/>
    <w:rsid w:val="004D689D"/>
    <w:rsid w:val="004F0C77"/>
    <w:rsid w:val="00503433"/>
    <w:rsid w:val="005163A9"/>
    <w:rsid w:val="005B4C49"/>
    <w:rsid w:val="00622688"/>
    <w:rsid w:val="00660F66"/>
    <w:rsid w:val="006A0153"/>
    <w:rsid w:val="006A4594"/>
    <w:rsid w:val="006F4760"/>
    <w:rsid w:val="00733B50"/>
    <w:rsid w:val="007D3E51"/>
    <w:rsid w:val="008210F3"/>
    <w:rsid w:val="00847B38"/>
    <w:rsid w:val="008B3781"/>
    <w:rsid w:val="00975036"/>
    <w:rsid w:val="0097683E"/>
    <w:rsid w:val="0098172C"/>
    <w:rsid w:val="009C6CAB"/>
    <w:rsid w:val="00A1181C"/>
    <w:rsid w:val="00A46F41"/>
    <w:rsid w:val="00AD2E91"/>
    <w:rsid w:val="00B13C28"/>
    <w:rsid w:val="00B17F88"/>
    <w:rsid w:val="00B52264"/>
    <w:rsid w:val="00B611CC"/>
    <w:rsid w:val="00B767E2"/>
    <w:rsid w:val="00BC4694"/>
    <w:rsid w:val="00BE01ED"/>
    <w:rsid w:val="00BE7BEB"/>
    <w:rsid w:val="00C10326"/>
    <w:rsid w:val="00C2091A"/>
    <w:rsid w:val="00C61235"/>
    <w:rsid w:val="00CE341A"/>
    <w:rsid w:val="00D04DC0"/>
    <w:rsid w:val="00D20A97"/>
    <w:rsid w:val="00D35F41"/>
    <w:rsid w:val="00DE08DB"/>
    <w:rsid w:val="00DE3CF2"/>
    <w:rsid w:val="00EF271F"/>
    <w:rsid w:val="00F7118D"/>
    <w:rsid w:val="00FC1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FBEB2"/>
  <w15:docId w15:val="{6FB9A79E-8D88-4B96-B74C-BA3422D5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091A"/>
    <w:rPr>
      <w:sz w:val="24"/>
      <w:szCs w:val="24"/>
    </w:rPr>
  </w:style>
  <w:style w:type="paragraph" w:styleId="Heading1">
    <w:name w:val="heading 1"/>
    <w:basedOn w:val="Normal"/>
    <w:next w:val="Normal"/>
    <w:link w:val="Heading1Char"/>
    <w:qFormat/>
    <w:rsid w:val="00C2091A"/>
    <w:pPr>
      <w:keepNext/>
      <w:jc w:val="center"/>
      <w:outlineLvl w:val="0"/>
    </w:pPr>
    <w:rPr>
      <w:sz w:val="32"/>
    </w:rPr>
  </w:style>
  <w:style w:type="paragraph" w:styleId="Heading2">
    <w:name w:val="heading 2"/>
    <w:basedOn w:val="Normal"/>
    <w:next w:val="Normal"/>
    <w:qFormat/>
    <w:rsid w:val="00C2091A"/>
    <w:pPr>
      <w:keepNext/>
      <w:outlineLvl w:val="1"/>
    </w:pPr>
    <w:rPr>
      <w:rFonts w:ascii="Bookman" w:hAnsi="Bookman"/>
      <w:szCs w:val="20"/>
    </w:rPr>
  </w:style>
  <w:style w:type="paragraph" w:styleId="Heading3">
    <w:name w:val="heading 3"/>
    <w:basedOn w:val="Normal"/>
    <w:next w:val="Normal"/>
    <w:qFormat/>
    <w:rsid w:val="00C2091A"/>
    <w:pPr>
      <w:keepNext/>
      <w:outlineLvl w:val="2"/>
    </w:pPr>
    <w:rPr>
      <w:rFonts w:ascii="Bookman" w:hAnsi="Bookman"/>
      <w:b/>
      <w:szCs w:val="20"/>
    </w:rPr>
  </w:style>
  <w:style w:type="paragraph" w:styleId="Heading4">
    <w:name w:val="heading 4"/>
    <w:basedOn w:val="Normal"/>
    <w:next w:val="Normal"/>
    <w:qFormat/>
    <w:rsid w:val="00C2091A"/>
    <w:pPr>
      <w:keepNext/>
      <w:ind w:left="720"/>
      <w:outlineLvl w:val="3"/>
    </w:pPr>
    <w:rPr>
      <w:rFonts w:ascii="Bookman" w:hAnsi="Book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2091A"/>
    <w:pPr>
      <w:ind w:left="720"/>
    </w:pPr>
    <w:rPr>
      <w:rFonts w:ascii="Bookman" w:hAnsi="Bookman"/>
      <w:szCs w:val="20"/>
    </w:rPr>
  </w:style>
  <w:style w:type="character" w:styleId="Hyperlink">
    <w:name w:val="Hyperlink"/>
    <w:basedOn w:val="DefaultParagraphFont"/>
    <w:rsid w:val="00C2091A"/>
    <w:rPr>
      <w:color w:val="0000FF"/>
      <w:u w:val="single"/>
    </w:rPr>
  </w:style>
  <w:style w:type="paragraph" w:styleId="BodyText">
    <w:name w:val="Body Text"/>
    <w:basedOn w:val="Normal"/>
    <w:rsid w:val="00C2091A"/>
    <w:rPr>
      <w:rFonts w:ascii="Bookman" w:hAnsi="Bookman"/>
      <w:szCs w:val="20"/>
    </w:rPr>
  </w:style>
  <w:style w:type="paragraph" w:styleId="Footer">
    <w:name w:val="footer"/>
    <w:basedOn w:val="Normal"/>
    <w:link w:val="FooterChar"/>
    <w:rsid w:val="00C2091A"/>
    <w:pPr>
      <w:tabs>
        <w:tab w:val="center" w:pos="4320"/>
        <w:tab w:val="right" w:pos="8640"/>
      </w:tabs>
    </w:pPr>
  </w:style>
  <w:style w:type="character" w:styleId="PageNumber">
    <w:name w:val="page number"/>
    <w:basedOn w:val="DefaultParagraphFont"/>
    <w:rsid w:val="00C2091A"/>
  </w:style>
  <w:style w:type="character" w:styleId="FollowedHyperlink">
    <w:name w:val="FollowedHyperlink"/>
    <w:basedOn w:val="DefaultParagraphFont"/>
    <w:rsid w:val="0097683E"/>
    <w:rPr>
      <w:color w:val="800080"/>
      <w:u w:val="single"/>
    </w:rPr>
  </w:style>
  <w:style w:type="paragraph" w:styleId="Header">
    <w:name w:val="header"/>
    <w:basedOn w:val="Normal"/>
    <w:rsid w:val="00660F66"/>
    <w:pPr>
      <w:tabs>
        <w:tab w:val="center" w:pos="4320"/>
        <w:tab w:val="right" w:pos="8640"/>
      </w:tabs>
    </w:pPr>
  </w:style>
  <w:style w:type="paragraph" w:styleId="BalloonText">
    <w:name w:val="Balloon Text"/>
    <w:basedOn w:val="Normal"/>
    <w:link w:val="BalloonTextChar"/>
    <w:semiHidden/>
    <w:unhideWhenUsed/>
    <w:rsid w:val="001D38F7"/>
    <w:rPr>
      <w:rFonts w:ascii="Segoe UI" w:hAnsi="Segoe UI" w:cs="Segoe UI"/>
      <w:sz w:val="18"/>
      <w:szCs w:val="18"/>
    </w:rPr>
  </w:style>
  <w:style w:type="character" w:customStyle="1" w:styleId="BalloonTextChar">
    <w:name w:val="Balloon Text Char"/>
    <w:basedOn w:val="DefaultParagraphFont"/>
    <w:link w:val="BalloonText"/>
    <w:semiHidden/>
    <w:rsid w:val="001D38F7"/>
    <w:rPr>
      <w:rFonts w:ascii="Segoe UI" w:hAnsi="Segoe UI" w:cs="Segoe UI"/>
      <w:sz w:val="18"/>
      <w:szCs w:val="18"/>
    </w:rPr>
  </w:style>
  <w:style w:type="paragraph" w:styleId="ListParagraph">
    <w:name w:val="List Paragraph"/>
    <w:basedOn w:val="Normal"/>
    <w:uiPriority w:val="1"/>
    <w:qFormat/>
    <w:rsid w:val="005B4C49"/>
    <w:pPr>
      <w:widowControl w:val="0"/>
      <w:autoSpaceDE w:val="0"/>
      <w:autoSpaceDN w:val="0"/>
      <w:ind w:left="2241" w:hanging="355"/>
    </w:pPr>
    <w:rPr>
      <w:sz w:val="22"/>
      <w:szCs w:val="22"/>
    </w:rPr>
  </w:style>
  <w:style w:type="character" w:customStyle="1" w:styleId="Heading1Char">
    <w:name w:val="Heading 1 Char"/>
    <w:basedOn w:val="DefaultParagraphFont"/>
    <w:link w:val="Heading1"/>
    <w:rsid w:val="004012F1"/>
    <w:rPr>
      <w:sz w:val="32"/>
      <w:szCs w:val="24"/>
    </w:rPr>
  </w:style>
  <w:style w:type="character" w:styleId="UnresolvedMention">
    <w:name w:val="Unresolved Mention"/>
    <w:basedOn w:val="DefaultParagraphFont"/>
    <w:uiPriority w:val="99"/>
    <w:semiHidden/>
    <w:unhideWhenUsed/>
    <w:rsid w:val="008210F3"/>
    <w:rPr>
      <w:color w:val="605E5C"/>
      <w:shd w:val="clear" w:color="auto" w:fill="E1DFDD"/>
    </w:rPr>
  </w:style>
  <w:style w:type="character" w:customStyle="1" w:styleId="FooterChar">
    <w:name w:val="Footer Char"/>
    <w:basedOn w:val="DefaultParagraphFont"/>
    <w:link w:val="Footer"/>
    <w:rsid w:val="008210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22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SSAP@up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ciccoj@upstate.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drusr@upstate.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upstate.edu/publicaffairs/intra/logos/images/umu_header.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SUNY UPSTATE MEDICAL UNIVERSITY</vt:lpstr>
    </vt:vector>
  </TitlesOfParts>
  <Company>Upstate Medical University</Company>
  <LinksUpToDate>false</LinksUpToDate>
  <CharactersWithSpaces>5020</CharactersWithSpaces>
  <SharedDoc>false</SharedDoc>
  <HLinks>
    <vt:vector size="30" baseType="variant">
      <vt:variant>
        <vt:i4>7471199</vt:i4>
      </vt:variant>
      <vt:variant>
        <vt:i4>12</vt:i4>
      </vt:variant>
      <vt:variant>
        <vt:i4>0</vt:i4>
      </vt:variant>
      <vt:variant>
        <vt:i4>5</vt:i4>
      </vt:variant>
      <vt:variant>
        <vt:lpwstr>mailto:andrusr@upstate.edu</vt:lpwstr>
      </vt:variant>
      <vt:variant>
        <vt:lpwstr/>
      </vt:variant>
      <vt:variant>
        <vt:i4>1245225</vt:i4>
      </vt:variant>
      <vt:variant>
        <vt:i4>9</vt:i4>
      </vt:variant>
      <vt:variant>
        <vt:i4>0</vt:i4>
      </vt:variant>
      <vt:variant>
        <vt:i4>5</vt:i4>
      </vt:variant>
      <vt:variant>
        <vt:lpwstr>mailto:benedicm@upstate.edu</vt:lpwstr>
      </vt:variant>
      <vt:variant>
        <vt:lpwstr/>
      </vt:variant>
      <vt:variant>
        <vt:i4>458791</vt:i4>
      </vt:variant>
      <vt:variant>
        <vt:i4>6</vt:i4>
      </vt:variant>
      <vt:variant>
        <vt:i4>0</vt:i4>
      </vt:variant>
      <vt:variant>
        <vt:i4>5</vt:i4>
      </vt:variant>
      <vt:variant>
        <vt:lpwstr>http://www.upstate.edu/ehs/ehs_training.shtml</vt:lpwstr>
      </vt:variant>
      <vt:variant>
        <vt:lpwstr/>
      </vt:variant>
      <vt:variant>
        <vt:i4>3080237</vt:i4>
      </vt:variant>
      <vt:variant>
        <vt:i4>3</vt:i4>
      </vt:variant>
      <vt:variant>
        <vt:i4>0</vt:i4>
      </vt:variant>
      <vt:variant>
        <vt:i4>5</vt:i4>
      </vt:variant>
      <vt:variant>
        <vt:lpwstr>http://www.upstate.edu/ehs/</vt:lpwstr>
      </vt:variant>
      <vt:variant>
        <vt:lpwstr/>
      </vt:variant>
      <vt:variant>
        <vt:i4>131164</vt:i4>
      </vt:variant>
      <vt:variant>
        <vt:i4>0</vt:i4>
      </vt:variant>
      <vt:variant>
        <vt:i4>0</vt:i4>
      </vt:variant>
      <vt:variant>
        <vt:i4>5</vt:i4>
      </vt:variant>
      <vt:variant>
        <vt:lpwstr>http://www.absa.org/restool.html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SUNY UPSTATE MEDICAL UNIVERSITY</dc:title>
  <dc:subject/>
  <dc:creator>w98gx150</dc:creator>
  <cp:keywords/>
  <dc:description/>
  <cp:lastModifiedBy>Jean C. Decicco</cp:lastModifiedBy>
  <cp:revision>3</cp:revision>
  <cp:lastPrinted>2007-06-20T13:28:00Z</cp:lastPrinted>
  <dcterms:created xsi:type="dcterms:W3CDTF">2022-04-29T15:11:00Z</dcterms:created>
  <dcterms:modified xsi:type="dcterms:W3CDTF">2022-04-29T15:20:00Z</dcterms:modified>
</cp:coreProperties>
</file>